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7ACC">
      <w:pPr>
        <w:shd w:val="clear" w:color="auto" w:fill="FFFFFF"/>
        <w:spacing w:line="480" w:lineRule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仿宋_GB2312" w:hAnsi="黑体" w:eastAsia="仿宋_GB2312" w:cs="黑体"/>
          <w:spacing w:val="-6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spacing w:val="-6"/>
          <w:sz w:val="32"/>
          <w:szCs w:val="32"/>
          <w:lang w:eastAsia="zh-CN"/>
        </w:rPr>
        <w:t>：</w:t>
      </w:r>
    </w:p>
    <w:p w14:paraId="5B0378D4">
      <w:pPr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公安机关录用人民警察体能测评项目和标准</w:t>
      </w:r>
    </w:p>
    <w:p w14:paraId="63A9D5CA">
      <w:pPr>
        <w:autoSpaceDE w:val="0"/>
        <w:spacing w:after="156" w:afterLines="50" w:line="590" w:lineRule="exact"/>
        <w:ind w:firstLine="629"/>
        <w:rPr>
          <w:rFonts w:hint="eastAsia" w:eastAsia="方正仿宋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t>（一）男子组</w:t>
      </w:r>
    </w:p>
    <w:tbl>
      <w:tblPr>
        <w:tblStyle w:val="3"/>
        <w:tblW w:w="8503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862"/>
        <w:gridCol w:w="2862"/>
      </w:tblGrid>
      <w:tr w14:paraId="76379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vMerge w:val="restart"/>
            <w:noWrap w:val="0"/>
            <w:vAlign w:val="center"/>
          </w:tcPr>
          <w:p w14:paraId="4C4F40DD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</w:t>
            </w:r>
          </w:p>
        </w:tc>
        <w:tc>
          <w:tcPr>
            <w:tcW w:w="5724" w:type="dxa"/>
            <w:gridSpan w:val="2"/>
            <w:noWrap w:val="0"/>
            <w:vAlign w:val="center"/>
          </w:tcPr>
          <w:p w14:paraId="26D24A55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标  准</w:t>
            </w:r>
          </w:p>
        </w:tc>
      </w:tr>
      <w:tr w14:paraId="4B98A8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vMerge w:val="continue"/>
            <w:noWrap w:val="0"/>
            <w:vAlign w:val="center"/>
          </w:tcPr>
          <w:p w14:paraId="1789129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77F7AB6D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30</w:t>
            </w:r>
            <w:r>
              <w:rPr>
                <w:rFonts w:ascii="方正仿宋_GBK" w:eastAsia="方正仿宋_GBK"/>
                <w:sz w:val="28"/>
                <w:szCs w:val="28"/>
              </w:rPr>
              <w:t>岁（含）以下</w:t>
            </w:r>
          </w:p>
        </w:tc>
        <w:tc>
          <w:tcPr>
            <w:tcW w:w="2862" w:type="dxa"/>
            <w:noWrap w:val="0"/>
            <w:vAlign w:val="center"/>
          </w:tcPr>
          <w:p w14:paraId="0BE7864B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31</w:t>
            </w:r>
            <w:r>
              <w:rPr>
                <w:rFonts w:ascii="方正仿宋_GBK" w:eastAsia="方正仿宋_GBK"/>
                <w:sz w:val="28"/>
                <w:szCs w:val="28"/>
              </w:rPr>
              <w:t>岁（含）以上</w:t>
            </w:r>
          </w:p>
        </w:tc>
      </w:tr>
      <w:tr w14:paraId="3B9F3B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noWrap w:val="0"/>
            <w:vAlign w:val="center"/>
          </w:tcPr>
          <w:p w14:paraId="1186FFC1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  <w:r>
              <w:rPr>
                <w:rFonts w:ascii="方正仿宋_GBK" w:eastAsia="方正仿宋_GBK"/>
                <w:sz w:val="28"/>
                <w:szCs w:val="28"/>
              </w:rPr>
              <w:t>米</w:t>
            </w:r>
            <w:r>
              <w:rPr>
                <w:rFonts w:eastAsia="方正仿宋_GBK"/>
                <w:sz w:val="28"/>
                <w:szCs w:val="28"/>
              </w:rPr>
              <w:t>×4</w:t>
            </w:r>
            <w:r>
              <w:rPr>
                <w:rFonts w:ascii="方正仿宋_GBK" w:eastAsia="方正仿宋_GBK"/>
                <w:sz w:val="28"/>
                <w:szCs w:val="28"/>
              </w:rPr>
              <w:t>往返跑</w:t>
            </w:r>
          </w:p>
        </w:tc>
        <w:tc>
          <w:tcPr>
            <w:tcW w:w="2862" w:type="dxa"/>
            <w:noWrap w:val="0"/>
            <w:vAlign w:val="center"/>
          </w:tcPr>
          <w:p w14:paraId="6473843E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≤13″1</w:t>
            </w:r>
          </w:p>
        </w:tc>
        <w:tc>
          <w:tcPr>
            <w:tcW w:w="2862" w:type="dxa"/>
            <w:noWrap w:val="0"/>
            <w:vAlign w:val="center"/>
          </w:tcPr>
          <w:p w14:paraId="5D7F4624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≤13″4</w:t>
            </w:r>
          </w:p>
        </w:tc>
      </w:tr>
      <w:tr w14:paraId="0FA45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noWrap w:val="0"/>
            <w:vAlign w:val="center"/>
          </w:tcPr>
          <w:p w14:paraId="3C93ECD2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1000</w:t>
            </w:r>
            <w:r>
              <w:rPr>
                <w:rFonts w:ascii="方正仿宋_GBK" w:eastAsia="方正仿宋_GBK"/>
                <w:sz w:val="28"/>
                <w:szCs w:val="28"/>
              </w:rPr>
              <w:t>米跑</w:t>
            </w:r>
          </w:p>
        </w:tc>
        <w:tc>
          <w:tcPr>
            <w:tcW w:w="2862" w:type="dxa"/>
            <w:noWrap w:val="0"/>
            <w:vAlign w:val="center"/>
          </w:tcPr>
          <w:p w14:paraId="597B9ECE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≤4′25″</w:t>
            </w:r>
          </w:p>
        </w:tc>
        <w:tc>
          <w:tcPr>
            <w:tcW w:w="2862" w:type="dxa"/>
            <w:noWrap w:val="0"/>
            <w:vAlign w:val="center"/>
          </w:tcPr>
          <w:p w14:paraId="4E977AF6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≤4′35″</w:t>
            </w:r>
          </w:p>
        </w:tc>
      </w:tr>
      <w:tr w14:paraId="38E55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noWrap w:val="0"/>
            <w:vAlign w:val="center"/>
          </w:tcPr>
          <w:p w14:paraId="60A46552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纵跳摸高</w:t>
            </w:r>
          </w:p>
        </w:tc>
        <w:tc>
          <w:tcPr>
            <w:tcW w:w="5724" w:type="dxa"/>
            <w:gridSpan w:val="2"/>
            <w:noWrap w:val="0"/>
            <w:vAlign w:val="center"/>
          </w:tcPr>
          <w:p w14:paraId="66CC7024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≥265</w:t>
            </w:r>
            <w:r>
              <w:rPr>
                <w:rFonts w:ascii="方正仿宋_GBK" w:eastAsia="方正仿宋_GBK"/>
                <w:sz w:val="28"/>
                <w:szCs w:val="28"/>
              </w:rPr>
              <w:t>厘米</w:t>
            </w:r>
          </w:p>
        </w:tc>
      </w:tr>
    </w:tbl>
    <w:p w14:paraId="029CF21E">
      <w:pPr>
        <w:autoSpaceDE w:val="0"/>
        <w:spacing w:before="312" w:beforeLines="100" w:after="156" w:afterLines="50" w:line="590" w:lineRule="exact"/>
        <w:ind w:firstLine="548" w:firstLineChars="196"/>
        <w:rPr>
          <w:rFonts w:eastAsia="仿宋_GB2312"/>
          <w:sz w:val="24"/>
          <w:szCs w:val="24"/>
        </w:rPr>
      </w:pPr>
      <w:r>
        <w:rPr>
          <w:rFonts w:eastAsia="方正仿宋_GBK"/>
          <w:sz w:val="28"/>
          <w:szCs w:val="28"/>
        </w:rPr>
        <w:t xml:space="preserve"> </w:t>
      </w:r>
      <w:r>
        <w:rPr>
          <w:rFonts w:ascii="方正仿宋_GBK" w:eastAsia="方正仿宋_GBK"/>
          <w:sz w:val="30"/>
          <w:szCs w:val="30"/>
        </w:rPr>
        <w:t>（</w:t>
      </w:r>
      <w:r>
        <w:rPr>
          <w:rFonts w:hint="eastAsia" w:ascii="方正仿宋_GBK" w:eastAsia="方正仿宋_GBK"/>
          <w:sz w:val="30"/>
          <w:szCs w:val="30"/>
        </w:rPr>
        <w:t>二</w:t>
      </w:r>
      <w:r>
        <w:rPr>
          <w:rFonts w:ascii="方正仿宋_GBK" w:eastAsia="方正仿宋_GBK"/>
          <w:sz w:val="30"/>
          <w:szCs w:val="30"/>
        </w:rPr>
        <w:t>）女子组</w:t>
      </w:r>
    </w:p>
    <w:tbl>
      <w:tblPr>
        <w:tblStyle w:val="3"/>
        <w:tblW w:w="8505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918"/>
        <w:gridCol w:w="2918"/>
      </w:tblGrid>
      <w:tr w14:paraId="57A400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Merge w:val="restart"/>
            <w:noWrap w:val="0"/>
            <w:vAlign w:val="center"/>
          </w:tcPr>
          <w:p w14:paraId="05C487D3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</w:t>
            </w:r>
          </w:p>
        </w:tc>
        <w:tc>
          <w:tcPr>
            <w:tcW w:w="5836" w:type="dxa"/>
            <w:gridSpan w:val="2"/>
            <w:noWrap w:val="0"/>
            <w:vAlign w:val="center"/>
          </w:tcPr>
          <w:p w14:paraId="77EC7CFB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标  准</w:t>
            </w:r>
          </w:p>
        </w:tc>
      </w:tr>
      <w:tr w14:paraId="7241F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Merge w:val="continue"/>
            <w:noWrap w:val="0"/>
            <w:vAlign w:val="center"/>
          </w:tcPr>
          <w:p w14:paraId="72009C2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18" w:type="dxa"/>
            <w:noWrap w:val="0"/>
            <w:vAlign w:val="center"/>
          </w:tcPr>
          <w:p w14:paraId="47B6A8CF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30</w:t>
            </w:r>
            <w:r>
              <w:rPr>
                <w:rFonts w:ascii="方正仿宋_GBK" w:eastAsia="方正仿宋_GBK"/>
                <w:sz w:val="28"/>
                <w:szCs w:val="28"/>
              </w:rPr>
              <w:t>岁（含）以下</w:t>
            </w:r>
          </w:p>
        </w:tc>
        <w:tc>
          <w:tcPr>
            <w:tcW w:w="2918" w:type="dxa"/>
            <w:noWrap w:val="0"/>
            <w:vAlign w:val="center"/>
          </w:tcPr>
          <w:p w14:paraId="105F541D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31</w:t>
            </w:r>
            <w:r>
              <w:rPr>
                <w:rFonts w:ascii="方正仿宋_GBK" w:eastAsia="方正仿宋_GBK"/>
                <w:sz w:val="28"/>
                <w:szCs w:val="28"/>
              </w:rPr>
              <w:t>岁（含）以上</w:t>
            </w:r>
          </w:p>
        </w:tc>
      </w:tr>
      <w:tr w14:paraId="3573A4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 w14:paraId="074C5E6A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  <w:r>
              <w:rPr>
                <w:rFonts w:ascii="方正仿宋_GBK" w:eastAsia="方正仿宋_GBK"/>
                <w:sz w:val="28"/>
                <w:szCs w:val="28"/>
              </w:rPr>
              <w:t>米</w:t>
            </w:r>
            <w:r>
              <w:rPr>
                <w:rFonts w:eastAsia="方正仿宋_GBK"/>
                <w:sz w:val="28"/>
                <w:szCs w:val="28"/>
              </w:rPr>
              <w:t>X4</w:t>
            </w:r>
            <w:r>
              <w:rPr>
                <w:rFonts w:ascii="方正仿宋_GBK" w:eastAsia="方正仿宋_GBK"/>
                <w:sz w:val="28"/>
                <w:szCs w:val="28"/>
              </w:rPr>
              <w:t>往返跑</w:t>
            </w:r>
          </w:p>
        </w:tc>
        <w:tc>
          <w:tcPr>
            <w:tcW w:w="2918" w:type="dxa"/>
            <w:noWrap w:val="0"/>
            <w:vAlign w:val="center"/>
          </w:tcPr>
          <w:p w14:paraId="06690DB8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≤14″1</w:t>
            </w:r>
          </w:p>
        </w:tc>
        <w:tc>
          <w:tcPr>
            <w:tcW w:w="2918" w:type="dxa"/>
            <w:noWrap w:val="0"/>
            <w:vAlign w:val="center"/>
          </w:tcPr>
          <w:p w14:paraId="41FCA1D2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≤14″4</w:t>
            </w:r>
          </w:p>
        </w:tc>
      </w:tr>
      <w:tr w14:paraId="2A319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 w14:paraId="44EEFCE4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800</w:t>
            </w:r>
            <w:r>
              <w:rPr>
                <w:rFonts w:ascii="方正仿宋_GBK" w:eastAsia="方正仿宋_GBK"/>
                <w:sz w:val="28"/>
                <w:szCs w:val="28"/>
              </w:rPr>
              <w:t>米跑</w:t>
            </w:r>
          </w:p>
        </w:tc>
        <w:tc>
          <w:tcPr>
            <w:tcW w:w="2918" w:type="dxa"/>
            <w:noWrap w:val="0"/>
            <w:vAlign w:val="center"/>
          </w:tcPr>
          <w:p w14:paraId="013CE932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≤4′20″</w:t>
            </w:r>
          </w:p>
        </w:tc>
        <w:tc>
          <w:tcPr>
            <w:tcW w:w="2918" w:type="dxa"/>
            <w:noWrap w:val="0"/>
            <w:vAlign w:val="center"/>
          </w:tcPr>
          <w:p w14:paraId="226A2423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≤4′30″</w:t>
            </w:r>
          </w:p>
        </w:tc>
      </w:tr>
      <w:tr w14:paraId="3BA0B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 w14:paraId="583079C9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纵跳摸高</w:t>
            </w:r>
          </w:p>
        </w:tc>
        <w:tc>
          <w:tcPr>
            <w:tcW w:w="5836" w:type="dxa"/>
            <w:gridSpan w:val="2"/>
            <w:noWrap w:val="0"/>
            <w:vAlign w:val="center"/>
          </w:tcPr>
          <w:p w14:paraId="3038D384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≥230</w:t>
            </w:r>
            <w:r>
              <w:rPr>
                <w:rFonts w:ascii="方正仿宋_GBK" w:eastAsia="方正仿宋_GBK"/>
                <w:sz w:val="28"/>
                <w:szCs w:val="28"/>
              </w:rPr>
              <w:t>厘米</w:t>
            </w:r>
          </w:p>
        </w:tc>
      </w:tr>
    </w:tbl>
    <w:p w14:paraId="1F8362A3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综合管理、执法勤务职位测查全部3个项目，警务技术职位免予测查1000米（男）/800米（女）跑项目；对专业人才紧缺难以形成竞争的特殊职位，经省级以上公务员主管部门同意，可以适当放宽体能测评有关项目标准或者免予测查体能测评项目；凡应测项目中任意一项不达标的，即为体能测评不合格。年龄计算时间截止到参加体能测评当月。</w:t>
      </w:r>
    </w:p>
    <w:p w14:paraId="7F3EB1A5"/>
    <w:p w14:paraId="175AEDB6"/>
    <w:p w14:paraId="042F892F"/>
    <w:p w14:paraId="7B18EE30"/>
    <w:p w14:paraId="1911C632">
      <w:pPr>
        <w:pStyle w:val="2"/>
        <w:widowControl w:val="0"/>
        <w:shd w:val="clear" w:color="auto" w:fill="FFFFFF"/>
        <w:spacing w:before="0" w:beforeAutospacing="0" w:after="0" w:afterAutospacing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公安机关录用人民警察体能测评实施规则</w:t>
      </w:r>
    </w:p>
    <w:p w14:paraId="7ED42B23">
      <w:pPr>
        <w:pStyle w:val="2"/>
        <w:widowControl w:val="0"/>
        <w:shd w:val="clear" w:color="auto" w:fill="FFFFFF"/>
        <w:spacing w:before="0" w:beforeAutospacing="0" w:after="0" w:afterAutospacing="0"/>
        <w:ind w:firstLine="420"/>
        <w:jc w:val="both"/>
        <w:rPr>
          <w:rStyle w:val="5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</w:pPr>
    </w:p>
    <w:p w14:paraId="37E74EFC">
      <w:pPr>
        <w:pStyle w:val="2"/>
        <w:widowControl w:val="0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一、10米×4往返跑</w:t>
      </w:r>
    </w:p>
    <w:p w14:paraId="66CE31AF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  <w:r>
        <w:rPr>
          <w:rFonts w:hint="eastAsia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8yW&#10;dNIAAAADAQAADwAAAAAAAAABACAAAAAiAAAAZHJzL2Rvd25yZXYueG1sUEsBAhQAFAAAAAgAh07i&#10;QGHA2yW2AQAAbwMAAA4AAAAAAAAAAQAgAAAAIQEAAGRycy9lMm9Eb2MueG1sUEsFBgAAAAAGAAYA&#10;WQEAAEk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3CC43315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 w14:paraId="56259A19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 w14:paraId="5D539BD0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注意事项：测试时有以下任一情况，不计取成绩：</w:t>
      </w:r>
    </w:p>
    <w:p w14:paraId="6EDE7A24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1.出发时抢跑；</w:t>
      </w:r>
    </w:p>
    <w:p w14:paraId="35D222AA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2.折返时脚踩S1或S2线；</w:t>
      </w:r>
    </w:p>
    <w:p w14:paraId="22033D5A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3.折返时未推倒木块。</w:t>
      </w:r>
    </w:p>
    <w:p w14:paraId="253F3A12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Style w:val="5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二、男子1000米跑、女子800米跑</w:t>
      </w:r>
    </w:p>
    <w:p w14:paraId="547B3E9F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场地器材：400米标准田径场，发令枪、发令旗、秒表、号码标识若干。</w:t>
      </w:r>
    </w:p>
    <w:p w14:paraId="010B05C0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 w14:paraId="56C91A06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动作要求：受测试者统一采用站立式起跑姿势，在起跑线外听到或看到发令信号时开始起跑，跑完相应距离越过终点线后视为完成测试。</w:t>
      </w:r>
    </w:p>
    <w:p w14:paraId="3E3B291E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注意事项：测试时有以下任一情况，不计取成绩：</w:t>
      </w:r>
    </w:p>
    <w:p w14:paraId="400FF81D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1.出发时抢跑；</w:t>
      </w:r>
    </w:p>
    <w:p w14:paraId="04F21223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2.出发时脚踩线；</w:t>
      </w:r>
    </w:p>
    <w:p w14:paraId="388D7B14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3.途中跑时超越或踩踏最内侧跑道线。</w:t>
      </w:r>
    </w:p>
    <w:p w14:paraId="1B7E2F86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Style w:val="5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三、纵跳摸高</w:t>
      </w:r>
    </w:p>
    <w:p w14:paraId="677597B5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 w14:paraId="7134F2B0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 w14:paraId="0D4DD83F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14:paraId="72015040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注意事项：测试时有以下任一情况，不计取成绩：</w:t>
      </w:r>
    </w:p>
    <w:p w14:paraId="5EEA7FFB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1.起跳时双腿有移动或有垫步动作；</w:t>
      </w:r>
    </w:p>
    <w:p w14:paraId="2D9DE8CA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2.手指甲超过指尖0.3厘米；</w:t>
      </w:r>
    </w:p>
    <w:p w14:paraId="2F57038D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3.戴手套等其他物品；</w:t>
      </w:r>
    </w:p>
    <w:p w14:paraId="5574D715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4.穿鞋进行测试。</w:t>
      </w:r>
    </w:p>
    <w:p w14:paraId="6095EC3E"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C3C5D14"/>
    <w:p w14:paraId="1E94CC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C1840"/>
    <w:rsid w:val="2E8C1840"/>
    <w:rsid w:val="6DA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</Words>
  <Characters>325</Characters>
  <Lines>0</Lines>
  <Paragraphs>0</Paragraphs>
  <TotalTime>0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2025-04-17T08:10:00Z</dcterms:created>
  <dc:creator>魄敦谮屹剂</dc:creator>
  <cp:lastModifiedBy>魄敦谮屹剂</cp:lastModifiedBy>
  <dcterms:modified xsi:type="dcterms:W3CDTF">2025-04-17T08:24:04Z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898CB7209D754A08A7E44F724D269E21_11</vt:lpwstr>
  </property>
  <property fmtid="{D5CDD505-2E9C-101B-9397-08002B2CF9AE}" pid="4" name="KSOTemplateDocerSaveRecord">
    <vt:lpwstr>eyJoZGlkIjoiZWNmZjQ4MTcwMWFkNDllMTM3ZDE1YmVmNTkyNmYwYzMiLCJ1c2VySWQiOiIxNjc4NDAxODAxIn0=</vt:lpwstr>
  </property>
</Properties>
</file>